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205"/>
      </w:tblGrid>
      <w:tr>
        <w:tc>
          <w:tcPr>
            <w:tcW w:type="dxa" w:w="10206"/>
            <w:tcMar>
              <w:top w:w="130" w:type="dxa"/>
              <w:start w:w="190" w:type="dxa"/>
              <w:bottom w:w="130" w:type="dxa"/>
              <w:end w:w="190" w:type="dxa"/>
            </w:tcMar>
          </w:tcPr>
          <w:p>
            <w:pPr>
              <w:shd w:fill="DFE8E3"/>
              <w:spacing w:after="0"/>
            </w:pPr>
            <w:r>
              <w:rPr>
                <w:rFonts w:ascii="GFS Baskerville" w:hAnsi="GFS Baskerville" w:eastAsia="GFS Baskerville"/>
                <w:b w:val="0"/>
                <w:i w:val="0"/>
                <w:color w:val="171916"/>
                <w:sz w:val="58"/>
              </w:rPr>
              <w:t>Guillermo Moreno</w:t>
            </w:r>
          </w:p>
          <w:p>
            <w:pPr>
              <w:spacing w:before="0" w:after="60"/>
            </w:pPr>
            <w:r>
              <w:rPr>
                <w:rFonts w:ascii="Lato" w:hAnsi="Lato" w:eastAsia="Lato"/>
                <w:b/>
                <w:i w:val="0"/>
                <w:color w:val="8B2E24"/>
                <w:sz w:val="22"/>
              </w:rPr>
              <w:t>Research-led Design Lead  |  Product, Service &amp; UX Strategy</w:t>
            </w:r>
          </w:p>
          <w:p>
            <w:pPr>
              <w:spacing w:before="0" w:after="0"/>
            </w:pPr>
            <w:r>
              <w:rPr>
                <w:rFonts w:ascii="Lato" w:hAnsi="Lato" w:eastAsia="Lato"/>
                <w:b w:val="0"/>
                <w:i w:val="0"/>
                <w:color w:val="5C5E57"/>
                <w:sz w:val="15"/>
              </w:rPr>
              <w:t>Vancouver, BC  |  Canada permanent resident  |  UK EU Settled Status  |  +1 672 230 4466  |  guillermo@bubblefishux.design</w:t>
            </w:r>
          </w:p>
          <w:p>
            <w:pPr>
              <w:spacing w:before="20" w:after="0"/>
            </w:pPr>
            <w:r>
              <w:rPr>
                <w:rFonts w:ascii="Lato" w:hAnsi="Lato" w:eastAsia="Lato"/>
                <w:b w:val="0"/>
                <w:i w:val="0"/>
                <w:color w:val="5C5E57"/>
                <w:sz w:val="15"/>
              </w:rPr>
              <w:t>guillermo.bubblefishux.design  |  linkedin.com/in/guillermomorenoux  |  uxinsights.ai</w:t>
            </w:r>
          </w:p>
        </w:tc>
      </w:tr>
    </w:tbl>
    <w:p>
      <w:pPr>
        <w:keepLines w:val="0"/>
        <w:spacing w:before="80" w:after="80" w:line="252" w:lineRule="auto"/>
      </w:pPr>
      <w:r>
        <w:rPr>
          <w:rFonts w:ascii="Lato" w:hAnsi="Lato" w:eastAsia="Lato"/>
          <w:b w:val="0"/>
          <w:i/>
          <w:color w:val="5C5E57"/>
          <w:sz w:val="16"/>
        </w:rPr>
        <w:t>Available for embedded remote contract engagements; current ventures do not limit client delivery.</w:t>
      </w:r>
    </w:p>
    <w:p>
      <w:pPr>
        <w:keepNext/>
        <w:keepLines/>
        <w:spacing w:before="160" w:after="100" w:line="252" w:lineRule="auto"/>
        <w:pBdr>
          <w:bottom w:val="single" w:sz="8" w:space="4" w:color="8B2E24"/>
        </w:pBdr>
      </w:pPr>
      <w:r>
        <w:rPr>
          <w:rFonts w:ascii="Lato" w:hAnsi="Lato" w:eastAsia="Lato"/>
          <w:b/>
          <w:i w:val="0"/>
          <w:color w:val="8B2E24"/>
          <w:sz w:val="18"/>
        </w:rPr>
        <w:t>PROFILE</w:t>
      </w:r>
    </w:p>
    <w:p>
      <w:pPr>
        <w:keepLines w:val="0"/>
        <w:spacing w:before="0" w:after="100" w:line="252" w:lineRule="auto"/>
      </w:pPr>
      <w:r>
        <w:rPr>
          <w:rFonts w:ascii="GFS Baskerville" w:hAnsi="GFS Baskerville" w:eastAsia="GFS Baskerville"/>
          <w:b w:val="0"/>
          <w:i w:val="0"/>
          <w:color w:val="171916"/>
          <w:sz w:val="22"/>
        </w:rPr>
        <w:t xml:space="preserve">Research-led design leader with 20 years in digital design and more than 10 years shaping complex products and services from evidence through delivery. </w:t>
      </w:r>
      <w:r>
        <w:rPr>
          <w:rFonts w:ascii="Lato" w:hAnsi="Lato" w:eastAsia="Lato"/>
          <w:b w:val="0"/>
          <w:i w:val="0"/>
          <w:color w:val="171916"/>
          <w:sz w:val="17"/>
        </w:rPr>
        <w:t>I work hands-on while influencing cross-functional decisions, reusable service patterns and product direction across policy, operations, security and engineering. My work includes identity-verification patterns adopted across more than 30 government services, restructuring nearly 3,000 content items at Chambers and measurable outcomes across insurance, health and financial services.</w:t>
      </w:r>
    </w:p>
    <w:p>
      <w:pPr>
        <w:keepNext/>
        <w:keepLines/>
        <w:spacing w:before="160" w:after="100" w:line="252" w:lineRule="auto"/>
        <w:pBdr>
          <w:bottom w:val="single" w:sz="8" w:space="4" w:color="8B2E24"/>
        </w:pBdr>
      </w:pPr>
      <w:r>
        <w:rPr>
          <w:rFonts w:ascii="Lato" w:hAnsi="Lato" w:eastAsia="Lato"/>
          <w:b/>
          <w:i w:val="0"/>
          <w:color w:val="8B2E24"/>
          <w:sz w:val="18"/>
        </w:rPr>
        <w:t>CORE STRENGTHS</w:t>
      </w:r>
    </w:p>
    <w:p>
      <w:pPr>
        <w:keepLines w:val="0"/>
        <w:spacing w:before="0" w:after="40" w:line="252" w:lineRule="auto"/>
      </w:pPr>
      <w:r>
        <w:rPr>
          <w:rFonts w:ascii="Lato" w:hAnsi="Lato" w:eastAsia="Lato"/>
          <w:b/>
          <w:i w:val="0"/>
          <w:color w:val="8B2E24"/>
          <w:sz w:val="17"/>
        </w:rPr>
        <w:t xml:space="preserve">Delivery: </w:t>
      </w:r>
      <w:r>
        <w:rPr>
          <w:rFonts w:ascii="Lato" w:hAnsi="Lato" w:eastAsia="Lato"/>
          <w:b w:val="0"/>
          <w:i w:val="0"/>
          <w:color w:val="171916"/>
          <w:sz w:val="17"/>
        </w:rPr>
        <w:t>Hands-on design leadership; workshop facilitation; stakeholder alignment; co-design; multidisciplinary Agile delivery; prototype iteration; developer collaboration; design QA; outcome measurement.</w:t>
      </w:r>
    </w:p>
    <w:p>
      <w:pPr>
        <w:keepLines w:val="0"/>
        <w:spacing w:before="0" w:after="40" w:line="252" w:lineRule="auto"/>
      </w:pPr>
      <w:r>
        <w:rPr>
          <w:rFonts w:ascii="Lato" w:hAnsi="Lato" w:eastAsia="Lato"/>
          <w:b/>
          <w:i w:val="0"/>
          <w:color w:val="8B2E24"/>
          <w:sz w:val="17"/>
        </w:rPr>
        <w:t xml:space="preserve">Research: </w:t>
      </w:r>
      <w:r>
        <w:rPr>
          <w:rFonts w:ascii="Lato" w:hAnsi="Lato" w:eastAsia="Lato"/>
          <w:b w:val="0"/>
          <w:i w:val="0"/>
          <w:color w:val="171916"/>
          <w:sz w:val="17"/>
        </w:rPr>
        <w:t>Product discovery; generative and evaluative research; mixed methods; stakeholder and user interviews; contextual inquiry; surveys; call listening; analytics; usability testing; card sorting; tree testing; qualitative synthesis.</w:t>
      </w:r>
    </w:p>
    <w:p>
      <w:pPr>
        <w:keepLines w:val="0"/>
        <w:spacing w:before="0" w:after="40" w:line="252" w:lineRule="auto"/>
      </w:pPr>
      <w:r>
        <w:rPr>
          <w:rFonts w:ascii="Lato" w:hAnsi="Lato" w:eastAsia="Lato"/>
          <w:b/>
          <w:i w:val="0"/>
          <w:color w:val="8B2E24"/>
          <w:sz w:val="17"/>
        </w:rPr>
        <w:t xml:space="preserve">Design: </w:t>
      </w:r>
      <w:r>
        <w:rPr>
          <w:rFonts w:ascii="Lato" w:hAnsi="Lato" w:eastAsia="Lato"/>
          <w:b w:val="0"/>
          <w:i w:val="0"/>
          <w:color w:val="171916"/>
          <w:sz w:val="17"/>
        </w:rPr>
        <w:t>Product and service strategy; journey mapping; service blueprints; information architecture; user flows; interaction design; design systems; wireframes; prototypes; responsive, accessible and inclusive design.</w:t>
      </w:r>
    </w:p>
    <w:p>
      <w:pPr>
        <w:keepNext/>
        <w:keepLines/>
        <w:spacing w:before="160" w:after="100" w:line="252" w:lineRule="auto"/>
        <w:pBdr>
          <w:bottom w:val="single" w:sz="8" w:space="4" w:color="8B2E24"/>
        </w:pBdr>
      </w:pPr>
      <w:r>
        <w:rPr>
          <w:rFonts w:ascii="Lato" w:hAnsi="Lato" w:eastAsia="Lato"/>
          <w:b/>
          <w:i w:val="0"/>
          <w:color w:val="8B2E24"/>
          <w:sz w:val="18"/>
        </w:rPr>
        <w:t>EXPERIENCE</w:t>
      </w:r>
    </w:p>
    <w:p>
      <w:pPr>
        <w:keepNext/>
        <w:keepLines/>
        <w:spacing w:before="40" w:after="20" w:line="252" w:lineRule="auto"/>
      </w:pPr>
      <w:r>
        <w:rPr>
          <w:rFonts w:ascii="GFS Baskerville" w:hAnsi="GFS Baskerville" w:eastAsia="GFS Baskerville"/>
          <w:b w:val="0"/>
          <w:i w:val="0"/>
          <w:color w:val="171916"/>
          <w:sz w:val="26"/>
        </w:rPr>
        <w:t>BubblefishUX</w:t>
      </w:r>
      <w:r>
        <w:rPr>
          <w:rFonts w:ascii="Lato" w:hAnsi="Lato" w:eastAsia="Lato"/>
          <w:b/>
          <w:i w:val="0"/>
          <w:color w:val="8B2E24"/>
          <w:sz w:val="16"/>
        </w:rPr>
        <w:t xml:space="preserve">  Sep 2015 – present</w:t>
      </w:r>
    </w:p>
    <w:p>
      <w:pPr>
        <w:keepNext/>
        <w:keepLines/>
        <w:spacing w:before="0" w:after="40" w:line="252" w:lineRule="auto"/>
      </w:pPr>
      <w:r>
        <w:rPr>
          <w:rFonts w:ascii="Lato" w:hAnsi="Lato" w:eastAsia="Lato"/>
          <w:b/>
          <w:i w:val="0"/>
          <w:color w:val="171916"/>
          <w:sz w:val="17"/>
        </w:rPr>
        <w:t>Independent Product &amp; Service Design Consultant, Founder</w:t>
      </w:r>
    </w:p>
    <w:p>
      <w:pPr>
        <w:keepLines w:val="0"/>
        <w:spacing w:before="0" w:after="80" w:line="252" w:lineRule="auto"/>
      </w:pPr>
      <w:r>
        <w:rPr>
          <w:rFonts w:ascii="Lato" w:hAnsi="Lato" w:eastAsia="Lato"/>
          <w:b w:val="0"/>
          <w:i w:val="0"/>
          <w:color w:val="171916"/>
          <w:sz w:val="17"/>
        </w:rPr>
        <w:t>Independent consultancy delivering research-led product, service and UX design. I embed as a senior individual contributor or working lead, carrying evidence through service definition, interaction design, prototyping, validation and delivery.</w:t>
      </w:r>
    </w:p>
    <w:p>
      <w:pPr>
        <w:keepNext/>
        <w:keepLines/>
        <w:spacing w:before="60" w:after="20" w:line="252" w:lineRule="auto"/>
        <w:ind w:left="170"/>
      </w:pPr>
      <w:r>
        <w:rPr>
          <w:rFonts w:ascii="Lato" w:hAnsi="Lato" w:eastAsia="Lato"/>
          <w:b/>
          <w:i w:val="0"/>
          <w:color w:val="8B2E24"/>
          <w:sz w:val="17"/>
        </w:rPr>
        <w:t>Healthy Working Wales  |  Lead UX Designer and Researcher  |  2023–2024</w:t>
      </w:r>
    </w:p>
    <w:p>
      <w:pPr>
        <w:keepLines w:val="0"/>
        <w:spacing w:before="0" w:after="60" w:line="252" w:lineRule="auto"/>
        <w:ind w:left="170"/>
      </w:pPr>
      <w:r>
        <w:rPr>
          <w:rFonts w:ascii="Lato" w:hAnsi="Lato" w:eastAsia="Lato"/>
          <w:b w:val="0"/>
          <w:i w:val="0"/>
          <w:color w:val="171916"/>
          <w:sz w:val="17"/>
        </w:rPr>
        <w:t>Led staff workshops and employer interviews, then used journey mapping, card sorting and tree testing to redesign the service structure. Four prototypes were iterated through fortnightly usability testing, reaching 86% first-click success and 85% task success.</w:t>
      </w:r>
    </w:p>
    <w:p>
      <w:pPr>
        <w:keepNext/>
        <w:keepLines/>
        <w:spacing w:before="60" w:after="20" w:line="252" w:lineRule="auto"/>
        <w:ind w:left="170"/>
      </w:pPr>
      <w:r>
        <w:rPr>
          <w:rFonts w:ascii="Lato" w:hAnsi="Lato" w:eastAsia="Lato"/>
          <w:b/>
          <w:i w:val="0"/>
          <w:color w:val="8B2E24"/>
          <w:sz w:val="17"/>
        </w:rPr>
        <w:t>Veygo by Admiral  |  Senior Product Designer  |  2021–2022</w:t>
      </w:r>
    </w:p>
    <w:p>
      <w:pPr>
        <w:keepLines w:val="0"/>
        <w:spacing w:before="0" w:after="60" w:line="252" w:lineRule="auto"/>
        <w:ind w:left="170"/>
      </w:pPr>
      <w:r>
        <w:rPr>
          <w:rFonts w:ascii="Lato" w:hAnsi="Lato" w:eastAsia="Lato"/>
          <w:b w:val="0"/>
          <w:i w:val="0"/>
          <w:color w:val="171916"/>
          <w:sz w:val="17"/>
        </w:rPr>
        <w:t>Combined call listening, analytics, support-team workshops, interviews and usability testing to redesign claims, subscriptions, mobile and support journeys. The changes contributed to 23% fewer customer-service calls.</w:t>
      </w:r>
    </w:p>
    <w:p>
      <w:pPr>
        <w:keepNext/>
        <w:keepLines/>
        <w:spacing w:before="60" w:after="20" w:line="252" w:lineRule="auto"/>
        <w:ind w:left="170"/>
      </w:pPr>
      <w:r>
        <w:rPr>
          <w:rFonts w:ascii="Lato" w:hAnsi="Lato" w:eastAsia="Lato"/>
          <w:b/>
          <w:i w:val="0"/>
          <w:color w:val="8B2E24"/>
          <w:sz w:val="17"/>
        </w:rPr>
        <w:t>HMRC identity verification  |  UX Lead  |  2019–2021</w:t>
      </w:r>
    </w:p>
    <w:p>
      <w:pPr>
        <w:keepLines w:val="0"/>
        <w:spacing w:before="0" w:after="60" w:line="252" w:lineRule="auto"/>
        <w:ind w:left="170"/>
      </w:pPr>
      <w:r>
        <w:rPr>
          <w:rFonts w:ascii="Lato" w:hAnsi="Lato" w:eastAsia="Lato"/>
          <w:b w:val="0"/>
          <w:i w:val="0"/>
          <w:color w:val="171916"/>
          <w:sz w:val="17"/>
        </w:rPr>
        <w:t>Led inclusive research, interaction design and service design for reusable identity verification. The approach was adopted across more than 30 services and user satisfaction increased 122% year on year.</w:t>
      </w:r>
    </w:p>
    <w:p>
      <w:r>
        <w:br w:type="page"/>
      </w:r>
    </w:p>
    <w:p>
      <w:pPr>
        <w:keepNext/>
        <w:keepLines/>
        <w:spacing w:before="160" w:after="100" w:line="252" w:lineRule="auto"/>
        <w:pBdr>
          <w:bottom w:val="single" w:sz="8" w:space="4" w:color="8B2E24"/>
        </w:pBdr>
      </w:pPr>
      <w:r>
        <w:rPr>
          <w:rFonts w:ascii="Lato" w:hAnsi="Lato" w:eastAsia="Lato"/>
          <w:b/>
          <w:i w:val="0"/>
          <w:color w:val="8B2E24"/>
          <w:sz w:val="18"/>
        </w:rPr>
        <w:t>BUBBLEFISHUX CONTINUED</w:t>
      </w:r>
    </w:p>
    <w:p>
      <w:pPr>
        <w:keepNext/>
        <w:keepLines/>
        <w:spacing w:before="60" w:after="20" w:line="252" w:lineRule="auto"/>
        <w:ind w:left="170"/>
      </w:pPr>
      <w:r>
        <w:rPr>
          <w:rFonts w:ascii="Lato" w:hAnsi="Lato" w:eastAsia="Lato"/>
          <w:b/>
          <w:i w:val="0"/>
          <w:color w:val="8B2E24"/>
          <w:sz w:val="17"/>
        </w:rPr>
        <w:t>Help to Save / GOV.UK  |  Senior UX Designer  |  2016–2018</w:t>
      </w:r>
    </w:p>
    <w:p>
      <w:pPr>
        <w:keepLines w:val="0"/>
        <w:spacing w:before="0" w:after="60" w:line="252" w:lineRule="auto"/>
        <w:ind w:left="170"/>
      </w:pPr>
      <w:r>
        <w:rPr>
          <w:rFonts w:ascii="Lato" w:hAnsi="Lato" w:eastAsia="Lato"/>
          <w:b w:val="0"/>
          <w:i w:val="0"/>
          <w:color w:val="171916"/>
          <w:sz w:val="17"/>
        </w:rPr>
        <w:t>Used analytics, heatmaps, interviews, usability testing and rapid prototyping across HMRC, NS&amp;I and Atos. The service met GDS standards, reached 91% user satisfaction and received three Financial Services Forum Awards.</w:t>
      </w:r>
    </w:p>
    <w:p>
      <w:pPr>
        <w:keepNext/>
        <w:keepLines/>
        <w:spacing w:before="60" w:after="20" w:line="252" w:lineRule="auto"/>
        <w:ind w:left="170"/>
      </w:pPr>
      <w:r>
        <w:rPr>
          <w:rFonts w:ascii="Lato" w:hAnsi="Lato" w:eastAsia="Lato"/>
          <w:b/>
          <w:i w:val="0"/>
          <w:color w:val="8B2E24"/>
          <w:sz w:val="17"/>
        </w:rPr>
        <w:t>Chambers &amp; Partners  |  Lead UX Researcher and Designer  |  2018</w:t>
      </w:r>
    </w:p>
    <w:p>
      <w:pPr>
        <w:keepLines w:val="0"/>
        <w:spacing w:before="0" w:after="60" w:line="252" w:lineRule="auto"/>
        <w:ind w:left="170"/>
      </w:pPr>
      <w:r>
        <w:rPr>
          <w:rFonts w:ascii="Lato" w:hAnsi="Lato" w:eastAsia="Lato"/>
          <w:b w:val="0"/>
          <w:i w:val="0"/>
          <w:color w:val="171916"/>
          <w:sz w:val="17"/>
        </w:rPr>
        <w:t>Led research and design for the move from paper-led publishing to a digital product. Analysed 500 survey responses and restructured nearly 3,000 content items through global card sorting. Primary-goal conversion increased sevenfold.</w:t>
      </w:r>
    </w:p>
    <w:p>
      <w:pPr>
        <w:keepNext/>
        <w:keepLines/>
        <w:spacing w:before="40" w:after="20" w:line="252" w:lineRule="auto"/>
      </w:pPr>
      <w:r>
        <w:rPr>
          <w:rFonts w:ascii="GFS Baskerville" w:hAnsi="GFS Baskerville" w:eastAsia="GFS Baskerville"/>
          <w:b w:val="0"/>
          <w:i w:val="0"/>
          <w:color w:val="171916"/>
          <w:sz w:val="26"/>
        </w:rPr>
        <w:t>UXInsights.ai</w:t>
      </w:r>
      <w:r>
        <w:rPr>
          <w:rFonts w:ascii="Lato" w:hAnsi="Lato" w:eastAsia="Lato"/>
          <w:b/>
          <w:i w:val="0"/>
          <w:color w:val="8B2E24"/>
          <w:sz w:val="16"/>
        </w:rPr>
        <w:t xml:space="preserve">  Mar 2024 – present</w:t>
      </w:r>
    </w:p>
    <w:p>
      <w:pPr>
        <w:keepNext/>
        <w:keepLines/>
        <w:spacing w:before="0" w:after="40" w:line="252" w:lineRule="auto"/>
      </w:pPr>
      <w:r>
        <w:rPr>
          <w:rFonts w:ascii="Lato" w:hAnsi="Lato" w:eastAsia="Lato"/>
          <w:b/>
          <w:i w:val="0"/>
          <w:color w:val="171916"/>
          <w:sz w:val="17"/>
        </w:rPr>
        <w:t>Lead Product &amp; Service Designer, Founder</w:t>
      </w:r>
    </w:p>
    <w:p>
      <w:pPr>
        <w:keepLines w:val="0"/>
        <w:spacing w:before="0" w:after="80" w:line="252" w:lineRule="auto"/>
      </w:pPr>
      <w:r>
        <w:rPr>
          <w:rFonts w:ascii="Lato" w:hAnsi="Lato" w:eastAsia="Lato"/>
          <w:b w:val="0"/>
          <w:i w:val="0"/>
          <w:color w:val="171916"/>
          <w:sz w:val="17"/>
        </w:rPr>
        <w:t>Lead product and service design for asynchronous AI-moderated voice interviews. Designed the implemented workflow across research goals, study setup, recruitment, participant interviews, traceable synthesis and reporting. Work with engineering on edge cases, interaction details and product priorities.</w:t>
      </w:r>
    </w:p>
    <w:p>
      <w:pPr>
        <w:keepLines w:val="0"/>
        <w:spacing w:before="40" w:after="40" w:line="252" w:lineRule="auto"/>
      </w:pPr>
      <w:r>
        <w:rPr>
          <w:rFonts w:ascii="Lato" w:hAnsi="Lato" w:eastAsia="Lato"/>
          <w:b/>
          <w:i w:val="0"/>
          <w:color w:val="8B2E24"/>
          <w:sz w:val="17"/>
        </w:rPr>
        <w:t xml:space="preserve">Selected product work: </w:t>
      </w:r>
      <w:r>
        <w:rPr>
          <w:rFonts w:ascii="Lato" w:hAnsi="Lato" w:eastAsia="Lato"/>
          <w:b w:val="0"/>
          <w:i w:val="0"/>
          <w:color w:val="171916"/>
          <w:sz w:val="17"/>
        </w:rPr>
        <w:t>guided study creation; editable interview guides; consent and natural voice-response flows; AI follow-up questions; connected transcripts, observations, themes, quotations and recommendations; launch-readiness review.</w:t>
      </w:r>
    </w:p>
    <w:p>
      <w:pPr>
        <w:keepNext/>
        <w:keepLines/>
        <w:spacing w:before="100" w:after="20" w:line="252" w:lineRule="auto"/>
      </w:pPr>
      <w:r>
        <w:rPr>
          <w:rFonts w:ascii="GFS Baskerville" w:hAnsi="GFS Baskerville" w:eastAsia="GFS Baskerville"/>
          <w:b w:val="0"/>
          <w:i w:val="0"/>
          <w:color w:val="171916"/>
          <w:sz w:val="26"/>
        </w:rPr>
        <w:t>Lebara Mobile</w:t>
      </w:r>
      <w:r>
        <w:rPr>
          <w:rFonts w:ascii="Lato" w:hAnsi="Lato" w:eastAsia="Lato"/>
          <w:b/>
          <w:i w:val="0"/>
          <w:color w:val="8B2E24"/>
          <w:sz w:val="16"/>
        </w:rPr>
        <w:t xml:space="preserve">  Oct 2014 – Sep 2015</w:t>
      </w:r>
    </w:p>
    <w:p>
      <w:pPr>
        <w:keepNext/>
        <w:keepLines/>
        <w:spacing w:before="0" w:after="40" w:line="252" w:lineRule="auto"/>
      </w:pPr>
      <w:r>
        <w:rPr>
          <w:rFonts w:ascii="Lato" w:hAnsi="Lato" w:eastAsia="Lato"/>
          <w:b/>
          <w:i w:val="0"/>
          <w:color w:val="171916"/>
          <w:sz w:val="17"/>
        </w:rPr>
        <w:t>Senior UX Researcher and Designer</w:t>
      </w:r>
    </w:p>
    <w:p>
      <w:pPr>
        <w:keepLines w:val="0"/>
        <w:spacing w:before="0" w:after="80" w:line="252" w:lineRule="auto"/>
      </w:pPr>
      <w:r>
        <w:rPr>
          <w:rFonts w:ascii="Lato" w:hAnsi="Lato" w:eastAsia="Lato"/>
          <w:b w:val="0"/>
          <w:i w:val="0"/>
          <w:color w:val="171916"/>
          <w:sz w:val="17"/>
        </w:rPr>
        <w:t>Led research and design across payments, top-up, shopping, account dashboards, forms and digital support. Used analytics, competitor evidence, interviews and usability testing to simplify responsive purchase and account-management journeys.</w:t>
      </w:r>
    </w:p>
    <w:p>
      <w:pPr>
        <w:keepNext/>
        <w:keepLines/>
        <w:spacing w:before="100" w:after="20" w:line="252" w:lineRule="auto"/>
      </w:pPr>
      <w:r>
        <w:rPr>
          <w:rFonts w:ascii="GFS Baskerville" w:hAnsi="GFS Baskerville" w:eastAsia="GFS Baskerville"/>
          <w:b w:val="0"/>
          <w:i w:val="0"/>
          <w:color w:val="171916"/>
          <w:sz w:val="26"/>
        </w:rPr>
        <w:t>Tristar Worldwide</w:t>
      </w:r>
      <w:r>
        <w:rPr>
          <w:rFonts w:ascii="Lato" w:hAnsi="Lato" w:eastAsia="Lato"/>
          <w:b/>
          <w:i w:val="0"/>
          <w:color w:val="8B2E24"/>
          <w:sz w:val="16"/>
        </w:rPr>
        <w:t xml:space="preserve">  Nov 2012 – Oct 2014</w:t>
      </w:r>
    </w:p>
    <w:p>
      <w:pPr>
        <w:keepNext/>
        <w:keepLines/>
        <w:spacing w:before="0" w:after="40" w:line="252" w:lineRule="auto"/>
      </w:pPr>
      <w:r>
        <w:rPr>
          <w:rFonts w:ascii="Lato" w:hAnsi="Lato" w:eastAsia="Lato"/>
          <w:b/>
          <w:i w:val="0"/>
          <w:color w:val="171916"/>
          <w:sz w:val="17"/>
        </w:rPr>
        <w:t>Lead UX/UI Visual Designer, Director Designate</w:t>
      </w:r>
    </w:p>
    <w:p>
      <w:pPr>
        <w:keepLines w:val="0"/>
        <w:spacing w:before="0" w:after="80" w:line="252" w:lineRule="auto"/>
      </w:pPr>
      <w:r>
        <w:rPr>
          <w:rFonts w:ascii="Lato" w:hAnsi="Lato" w:eastAsia="Lato"/>
          <w:b w:val="0"/>
          <w:i w:val="0"/>
          <w:color w:val="171916"/>
          <w:sz w:val="17"/>
        </w:rPr>
        <w:t>Led an international digital and corporate redesign across the UK, Hong Kong and USA. Established brand guidelines and a consistent customer experience. The work received a ProDriver Award bronze in the marketing category.</w:t>
      </w:r>
    </w:p>
    <w:p>
      <w:pPr>
        <w:keepNext/>
        <w:keepLines/>
        <w:spacing w:before="100" w:after="20" w:line="252" w:lineRule="auto"/>
      </w:pPr>
      <w:r>
        <w:rPr>
          <w:rFonts w:ascii="GFS Baskerville" w:hAnsi="GFS Baskerville" w:eastAsia="GFS Baskerville"/>
          <w:b w:val="0"/>
          <w:i w:val="0"/>
          <w:color w:val="171916"/>
          <w:sz w:val="26"/>
        </w:rPr>
        <w:t>Earlier design leadership</w:t>
      </w:r>
      <w:r>
        <w:rPr>
          <w:rFonts w:ascii="Lato" w:hAnsi="Lato" w:eastAsia="Lato"/>
          <w:b/>
          <w:i w:val="0"/>
          <w:color w:val="8B2E24"/>
          <w:sz w:val="16"/>
        </w:rPr>
        <w:t xml:space="preserve">  2005 – 2012</w:t>
      </w:r>
    </w:p>
    <w:p>
      <w:pPr>
        <w:keepNext/>
        <w:keepLines/>
        <w:spacing w:before="0" w:after="40" w:line="252" w:lineRule="auto"/>
      </w:pPr>
      <w:r>
        <w:rPr>
          <w:rFonts w:ascii="Lato" w:hAnsi="Lato" w:eastAsia="Lato"/>
          <w:b/>
          <w:i w:val="0"/>
          <w:color w:val="171916"/>
          <w:sz w:val="17"/>
        </w:rPr>
        <w:t>Creative Director, Senior Design Manager and UX/UI roles</w:t>
      </w:r>
    </w:p>
    <w:p>
      <w:pPr>
        <w:keepLines w:val="0"/>
        <w:spacing w:before="0" w:after="80" w:line="252" w:lineRule="auto"/>
      </w:pPr>
      <w:r>
        <w:rPr>
          <w:rFonts w:ascii="Lato" w:hAnsi="Lato" w:eastAsia="Lato"/>
          <w:b w:val="0"/>
          <w:i w:val="0"/>
          <w:color w:val="171916"/>
          <w:sz w:val="17"/>
        </w:rPr>
        <w:t>Led designers and delivered digital products, e-learning, campaigns and interactive media for organisations including PlayStation, PwC, Madrid Council and the Spanish Ministry of Education, Culture and Sports.</w:t>
      </w:r>
    </w:p>
    <w:p>
      <w:pPr>
        <w:keepNext/>
        <w:keepLines/>
        <w:spacing w:before="160" w:after="100" w:line="252" w:lineRule="auto"/>
        <w:pBdr>
          <w:bottom w:val="single" w:sz="8" w:space="4" w:color="8B2E24"/>
        </w:pBdr>
      </w:pPr>
      <w:r>
        <w:rPr>
          <w:rFonts w:ascii="Lato" w:hAnsi="Lato" w:eastAsia="Lato"/>
          <w:b/>
          <w:i w:val="0"/>
          <w:color w:val="8B2E24"/>
          <w:sz w:val="18"/>
        </w:rPr>
        <w:t>TOOLS</w:t>
      </w:r>
    </w:p>
    <w:p>
      <w:pPr>
        <w:keepLines w:val="0"/>
        <w:spacing w:before="0" w:after="80" w:line="252" w:lineRule="auto"/>
      </w:pPr>
      <w:r>
        <w:rPr>
          <w:rFonts w:ascii="Lato" w:hAnsi="Lato" w:eastAsia="Lato"/>
          <w:b/>
          <w:i w:val="0"/>
          <w:color w:val="8B2E24"/>
          <w:sz w:val="17"/>
        </w:rPr>
        <w:t xml:space="preserve">Design and prototyping: </w:t>
      </w:r>
      <w:r>
        <w:rPr>
          <w:rFonts w:ascii="Lato" w:hAnsi="Lato" w:eastAsia="Lato"/>
          <w:b w:val="0"/>
          <w:i w:val="0"/>
          <w:color w:val="171916"/>
          <w:sz w:val="17"/>
        </w:rPr>
        <w:t xml:space="preserve">Figma, Miro, ProtoPie, UXPin, Axure, Webflow and Adobe Creative Cloud.  </w:t>
      </w:r>
      <w:r>
        <w:rPr>
          <w:rFonts w:ascii="Lato" w:hAnsi="Lato" w:eastAsia="Lato"/>
          <w:b/>
          <w:i w:val="0"/>
          <w:color w:val="8B2E24"/>
          <w:sz w:val="17"/>
        </w:rPr>
        <w:t xml:space="preserve">Analytics and experimentation: </w:t>
      </w:r>
      <w:r>
        <w:rPr>
          <w:rFonts w:ascii="Lato" w:hAnsi="Lato" w:eastAsia="Lato"/>
          <w:b w:val="0"/>
          <w:i w:val="0"/>
          <w:color w:val="171916"/>
          <w:sz w:val="17"/>
        </w:rPr>
        <w:t xml:space="preserve">Google Analytics, PostHog, Hotjar, Optimizely and Tableau.  </w:t>
      </w:r>
      <w:r>
        <w:rPr>
          <w:rFonts w:ascii="Lato" w:hAnsi="Lato" w:eastAsia="Lato"/>
          <w:b/>
          <w:i w:val="0"/>
          <w:color w:val="8B2E24"/>
          <w:sz w:val="17"/>
        </w:rPr>
        <w:t xml:space="preserve">Technical: </w:t>
      </w:r>
      <w:r>
        <w:rPr>
          <w:rFonts w:ascii="Lato" w:hAnsi="Lato" w:eastAsia="Lato"/>
          <w:b w:val="0"/>
          <w:i w:val="0"/>
          <w:color w:val="171916"/>
          <w:sz w:val="17"/>
        </w:rPr>
        <w:t>HTML, CSS, JavaScript, Python, AWS and GOV.UK/NHS prototype kits.</w:t>
      </w:r>
    </w:p>
    <w:p>
      <w:pPr>
        <w:keepNext/>
        <w:keepLines/>
        <w:spacing w:before="160" w:after="100" w:line="252" w:lineRule="auto"/>
        <w:pBdr>
          <w:bottom w:val="single" w:sz="8" w:space="4" w:color="8B2E24"/>
        </w:pBdr>
      </w:pPr>
      <w:r>
        <w:rPr>
          <w:rFonts w:ascii="Lato" w:hAnsi="Lato" w:eastAsia="Lato"/>
          <w:b/>
          <w:i w:val="0"/>
          <w:color w:val="8B2E24"/>
          <w:sz w:val="18"/>
        </w:rPr>
        <w:t>EDUCATION AND SELECTED TRAINING</w:t>
      </w:r>
    </w:p>
    <w:p>
      <w:pPr>
        <w:keepLines w:val="0"/>
        <w:spacing w:before="0" w:after="60" w:line="252" w:lineRule="auto"/>
      </w:pPr>
      <w:r>
        <w:rPr>
          <w:rFonts w:ascii="Lato" w:hAnsi="Lato" w:eastAsia="Lato"/>
          <w:b w:val="0"/>
          <w:i w:val="0"/>
          <w:color w:val="171916"/>
          <w:sz w:val="17"/>
        </w:rPr>
        <w:t>Advertising and Public Relations — C.E.S. Villanueva  |  Digital Media — Trazos School of Arts  |  GDS Interaction Designer training  |  Qualitative Research Methods — University of Amsterdam  |  Human-Computer Interaction — University of San Diego</w:t>
      </w:r>
    </w:p>
    <w:sectPr w:rsidR="00FC693F" w:rsidRPr="0006063C" w:rsidSect="00034616">
      <w:footerReference w:type="default" r:id="rId9"/>
      <w:pgSz w:w="11906" w:h="16838"/>
      <w:pgMar w:top="624" w:right="850" w:bottom="567" w:left="850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4" w:color="CBC5B8"/>
      </w:pBdr>
      <w:jc w:val="right"/>
    </w:pPr>
    <w:r>
      <w:rPr>
        <w:rFonts w:ascii="Lato" w:hAnsi="Lato" w:eastAsia="Lato"/>
        <w:b w:val="0"/>
        <w:i w:val="0"/>
        <w:color w:val="5C5E57"/>
        <w:sz w:val="15"/>
      </w:rPr>
      <w:t xml:space="preserve">Guillermo Moreno  · 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Lato" w:hAnsi="Lato" w:eastAsia="Lato"/>
      <w:color w:val="171916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Guillermo Moreno — Curriculum Vitae</dc:title>
  <dc:subject>Research-led Design Lead | Product, Service &amp; UX Strategy</dc:subject>
  <dc:creator>Guillermo Moreno</dc:creator>
  <cp:keywords>UX design, service design, product design, UX research, design leadership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